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W w:w="0" w:type="auto"/>
        <w:tblInd w:w="0" w:type="dxa"/>
        <w:tblBorders>
          <w:top w:val="none" w:sz="6" w:space="0" w:shadow="0" w:frame="0" w:color="000000"/>
          <w:left w:val="none" w:sz="6" w:space="0" w:shadow="0" w:frame="0" w:color="000000"/>
          <w:bottom w:val="none" w:sz="6" w:space="0" w:shadow="0" w:frame="0" w:color="000000"/>
          <w:right w:val="none" w:sz="6" w:space="0" w:shadow="0" w:frame="0" w:color="000000"/>
          <w:insideH w:val="none" w:sz="6" w:space="0" w:shadow="0" w:frame="0" w:color="000000"/>
          <w:insideV w:val="none" w:sz="6" w:space="0" w:shadow="0" w:frame="0" w:color="00000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 xml:space="preserve">Утв. приказом Минфина РФ </w:t>
              <w:br w:type="textWrapping"/>
              <w:t xml:space="preserve">от 28 декабря 2010 г. № 191н </w:t>
              <w:br w:type="textWrapping"/>
            </w:r>
            <w:r>
              <w:rPr>
                <w:rFonts w:ascii="Times New Roman" w:hAnsi="Times New Roman" w:cs="Times New Roman" w:eastAsia="Times New Roman"/>
                <w:i w:val="1"/>
                <w:sz w:val="20"/>
                <w:szCs w:val="20"/>
              </w:rPr>
              <w:t>(в ред. от 16 ноября 2016 г.)</w:t>
            </w:r>
          </w:p>
        </w:tc>
      </w:tr>
    </w:tbl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vanish w:val="1"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КОДЫ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0503160</w:t>
            </w:r>
          </w:p>
        </w:tc>
      </w:tr>
      <w:tr>
        <w:trPr>
          <w:trHeight w:hRule="atLeast"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01.01.2025</w:t>
            </w:r>
          </w:p>
        </w:tc>
      </w:tr>
      <w:tr>
        <w:trPr>
          <w:trHeight w:hRule="atLeast"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04111340</w:t>
            </w: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Администрация муниципального образования "Капустиноярский сельсовет"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 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400</w:t>
            </w:r>
          </w:p>
        </w:tc>
      </w:tr>
      <w:tr>
        <w:trPr>
          <w:trHeight w:hRule="atLeast"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 </w:t>
            </w:r>
          </w:p>
          <w:p>
            <w:pPr>
              <w:spacing w:lineRule="atLeast" w:line="210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  <w:t>12605414</w:t>
            </w:r>
          </w:p>
        </w:tc>
      </w:tr>
      <w:tr>
        <w:trPr>
          <w:trHeight w:hRule="atLeast"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240" w:after="240" w:beforeAutospacing="1" w:afterAutospacing="1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383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numPr>
          <w:ilvl w:val="0"/>
          <w:numId w:val="1"/>
        </w:numPr>
        <w:shd w:val="clear" w:fill="auto"/>
        <w:spacing w:before="0" w:after="0" w:beforeAutospacing="0" w:afterAutospacing="0"/>
        <w:ind w:hanging="360" w:left="720" w:right="0"/>
        <w:jc w:val="left"/>
        <w:outlineLvl w:val="9"/>
        <w:rPr>
          <w:rFonts w:ascii="Times New Roman" w:hAnsi="Times New Roman" w:cs="Times New Roman" w:eastAsia="Times New Roman"/>
          <w:b w:val="1"/>
          <w:i w:val="0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 xml:space="preserve">Организационная структура субъекта бюджетной отчетности 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Полное наименование: Администрация муниципального образования «Сельское поселение Капустиноярский сельсовет Ахтубинского муниципального района Астраханской области».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Организационно-правовая форма: муниципальное казенное учреждения.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Юридический почтовый адрес и адрес местонахождения: 416510,Астраханская область, Ахтубинский район, с. Капустин Яр, ул. Октябрьская дом. №4.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действует на основании Устава, утвержденного решением Совета муниципального образования «Капустиноярский сельсовет» от 20.05.19 №7 . Подведомственных учреждений не имеет.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муниципального образования «Сельское поселение Капустиноярский сельсовет Ахтубинского муниципального района Астраханской области» является юридическим лицом, самостоятельно осуществляет финансово-хозяйственную деятельность, имеет самостоятельный баланс и лицевой счет, обладает обособленным имуществом, которое закрепляется за ним на праве оперативного управления.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Собственник имущества: субъект Российской Федерации-Астраханская область и администрация муниципального образования «Сельское поселение Капустиноярский сельсовет Ахтубинского муниципального района Астраханской области» 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Бухгалтерский учет ведется бухгалтерией администрации, возглавляемым главным бухгалтером.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вправе от своего имени заключать договора, приобретать и осуществлять имущественные и личные неимущественные права, нести ответственность, быть истцом и ответчиком в суде, арбитражном суде.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муниципального образования «Сельское поселение Капустиноярский сельсовет Ахтубинского муниципального района Астраханской области» открыты лицевые счета в органе казначейства: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-лицевой счет получателя бюджетных средств№03253007210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-лицевой счет для учета операций со средствами, поступающими во временное распоряжение получателя бюджетных средств №05253007210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-лицевой счет администратора доходов №04253007210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-лицевой счет администратора источников финансирования дефицита бюджета №08253007210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Балансовая стоимость имущества составляет 39801381,35 руб.  Сумма начисленной амортизации  составляет 28041936,88 руб, остаточная стоимость составляет 11759444,47 руб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Администрация МО "Ахтубинский муниципальный район Астраханской области" передали в оперативное управление спортивное оборудование на сумму 3767234,22 руб. 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Имеется имущество казны: жилой дом балансовой стоимостью 1,00 руб.(условная); земельный участок стоимостью 127177,68 руб. (кадастровая стоимость). Оформлена как выморочная.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 xml:space="preserve">2. Результаты деятельности субъекта бюджетной отчетности 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В штатном расписании администрации муниципального образования «Сельское поселение Капустиноярский сельсовет Ахтубинского муниципального района Астраханской области» на 01.01.2024г было утверждено 6 штатных единиц 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 Все сотрудники администрации соответствуют профстандартам.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Средняя заработная плата  по администрации в 2024году по сравнению с 2023годом увеличилась на 10 процентов . Средняя заработная плата  основного персонала составила 26061,92 руб.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Рабочее место каждого сотрудника технически оборудовано компьютерной техникой с доступом в сети Интернет. Также оборудованы кабинеты для приема граждан. Администрация снабжена копировальной техникой , факсимильной связью. Администрация имеет сайт в сети Интернет</w:t>
      </w:r>
      <w:r>
        <w:rPr>
          <w:rFonts w:ascii="Calibri" w:hAnsi="Calibri" w:cs="Calibri" w:eastAsia="Calibri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mo.asrobl.ru, который поддерживается в актуальном состоянии.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Лимиты потребления электроэнергии соблюдаются. Перерасхода нет.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 xml:space="preserve"> 3. Анализ отчета об исполнении бюджета субъекта бюджетной отчетности 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 За 2024год невыясненных поступлений нет.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Исполнение доходной части бюджета по поступлению налоговых доходов составила       1534737 руб.86 коп. при плане 1551864 руб. 00 коп. (98,90%).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Невыполнение: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-земельный налог с организаций- исполнение 73174 руб 60 коп. при плане82000 руб. 00 коп. (89,24%);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-земельный налог с физических лиц, обладающих земельным участком, располложеным в границах сельских поселение- исполнение 620945 руб.27коп. при плане 690000 руб. 00 коп. (90,0%)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Исполнение показателей произошло по налогу на доходы физ.лиц (исполнено 318109 руб.45 коп. при плане 311000руб.00коп. (102,29%).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Исполнение доходной части бюджета по поступлению неналоговых доходов составила       1077005 руб.30 коп. при плане 1273751 руб. 58 коп. (84,55%).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Невыполнение: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 доходы полученные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межнаселенных территорий муниципальных районов- исполнение 1026005 руб. 30 коп. при плане 1232751 руб.58 коп (83,23%)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Исполнение показателей произошло по административному штрафу (исполнено 51000 руб.00 коп. при плане 41000руб.00коп. (124,39%).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Дотация на выравнивание бюджетной обеспеченности поступила в размере 5590400 руб. 00 коп. при плане 5590400 руб.00 коп. (100%).  Дотация бюджетам сельских поселений на выравнивание бюджетной обеспеченности из бюджета муниципальных районов 711448,00руб.00коп. при плане 711448 руб. 00коп (100%).Субвенции на осуществление первичного воинского учета поступила в размере 342800 руб.00коп. при плане 342800 руб.00 коп. (100%),субсидия бюджетам бюджетной системы в размере 1532177 руб 43коп. ,при плане 1532177 руб. 43 коп.(100%). Прочие межбюджетные трансферты, передаваемые бюджетам сельских поселений в размере 57087 руб.36 коп. при плане 57087 руб.36 коп. (100%).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Общий процент исполнения доходной части бюджета на 01.01.2025г. составил  98,03%.  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Остаток денежных средств на 01.01.2025 года составил 393358</w:t>
      </w:r>
      <w:r>
        <w:rPr>
          <w:rFonts w:ascii="Times New Roman" w:hAnsi="Times New Roman" w:cs="Times New Roman" w:eastAsia="Times New Roman"/>
          <w:b w:val="0"/>
          <w:i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руб.81 коп., в том числе целевые средства – 0,00рублей 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При плановых бюджетных расходах в сумме 11347691 руб.21 коп. на 01.01.2025 года исполнено 10736459 руб.98коп. (94,61%). За 12 месяцев бюджетной деятельности исполнение бюджета на01.01.2025 выполнено с профицитом в сумме 105195 руб.97коп</w:t>
      </w:r>
      <w:r>
        <w:rPr>
          <w:rFonts w:ascii="Times New Roman" w:hAnsi="Times New Roman" w:cs="Times New Roman" w:eastAsia="Times New Roman"/>
          <w:b w:val="0"/>
          <w:i w:val="0"/>
          <w:color w:val="FF0000"/>
          <w:sz w:val="24"/>
          <w:szCs w:val="24"/>
        </w:rPr>
        <w:t>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В 2024году администрация не принимала бюджетные и денежные обязательства сверх утвержденных бюджетных назначений.</w:t>
      </w:r>
      <w:r>
        <w:rPr>
          <w:rFonts w:ascii="Times New Roman" w:hAnsi="Times New Roman" w:cs="Times New Roman" w:eastAsia="Times New Roman"/>
          <w:b w:val="0"/>
          <w:i w:val="0"/>
          <w:color w:val="FF0000"/>
          <w:sz w:val="24"/>
          <w:szCs w:val="24"/>
        </w:rPr>
        <w:t xml:space="preserve">       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4. Анализ показателей бухгалтерской отчетности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 xml:space="preserve">субъекта бюджетной отчетности </w:t>
      </w:r>
    </w:p>
    <w:p>
      <w:pPr>
        <w:spacing w:before="240" w:after="24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ф. 1503169 БК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По состоянию на 01.01.2025 года  перед  администрации числится  дебиторская задолженность 18772283 руб.96 коп</w:t>
      </w:r>
      <w:r>
        <w:rPr>
          <w:rFonts w:ascii="Times New Roman" w:hAnsi="Times New Roman" w:cs="Times New Roman" w:eastAsia="Times New Roman"/>
          <w:b w:val="0"/>
          <w:i w:val="0"/>
          <w:color w:val="FF00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., из их 938097руб.55 коп.- просроченная дебиторская задолженность по начисленным доходам по данным ИФНС, долгосрочная нет.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-ООО «Макро»16519 руб.66 коп. по условиям договора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Кредиторская задолженность по состоянию на 01.01.2025года составила 494364 руб.54 коп</w:t>
      </w:r>
      <w:r>
        <w:rPr>
          <w:rFonts w:ascii="Times New Roman" w:hAnsi="Times New Roman" w:cs="Times New Roman" w:eastAsia="Times New Roman"/>
          <w:b w:val="0"/>
          <w:i w:val="0"/>
          <w:color w:val="FF00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, в том числе по начисленным доходам ИФНС 4680351 руб.39 коп..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tbl>
      <w:tblPr>
        <w:tblW w:w="0" w:type="auto"/>
        <w:tblInd w:w="0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ГНИ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ГПХ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i w:val="0"/>
                <w:color w:val="000000"/>
                <w:sz w:val="24"/>
                <w:szCs w:val="24"/>
              </w:rPr>
              <w:t>205.00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426193,84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i w:val="0"/>
                <w:color w:val="000000"/>
                <w:sz w:val="24"/>
                <w:szCs w:val="24"/>
              </w:rPr>
              <w:t>302.00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10180,70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302.11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302.21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4434,04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302.23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5746,66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39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i w:val="0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426193,84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10180,70</w:t>
            </w:r>
          </w:p>
        </w:tc>
        <w:tc>
          <w:tcPr>
            <w:tcW w:w="239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0,00</w:t>
            </w:r>
          </w:p>
        </w:tc>
      </w:tr>
    </w:tbl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Форма 0503175: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Не исполнены обязательства :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ПАО "Ростелеком"-4434,04 руб.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ООО "Газпром межрегионгаз Астрахань"-5746,66 руб.</w:t>
      </w:r>
    </w:p>
    <w:tbl>
      <w:tblPr>
        <w:tblW w:w="4815" w:type="dxa"/>
        <w:tblInd w:w="6135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300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Итого-10180 ру. 70 коп. </w:t>
            </w:r>
          </w:p>
        </w:tc>
      </w:tr>
      <w:tr>
        <w:trPr>
          <w:trHeight w:hRule="atLeast" w:val="300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hRule="atLeast" w:val="264"/>
        </w:trPr>
        <w:tc>
          <w:tcPr>
            <w:tcW w:w="14" w:type="dxa"/>
            <w:tcBorders>
              <w:top w:val="nil"/>
              <w:left w:val="nil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>
            <w:pPr>
              <w:shd w:val="clear" w:fill="FFFFFF"/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>
      <w:pPr>
        <w:spacing w:before="0" w:after="0" w:beforeAutospacing="0" w:afterAutospacing="0"/>
        <w:ind w:hanging="180" w:left="0" w:right="-56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bookmarkStart w:id="0" w:name="_dx_frag_EndFragment"/>
      <w:bookmarkEnd w:id="0"/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Таблица 1 формы 0503175 Бюджетные обязательства причины неисполнения такие же как в таблице 2  формы 0503175 Денежные обязательства.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ф. 0503175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таблица 1</w:t>
      </w:r>
    </w:p>
    <w:tbl>
      <w:tblPr>
        <w:tblW w:w="0" w:type="auto"/>
        <w:tblInd w:w="-432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612"/>
        </w:trP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счет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причина</w:t>
            </w:r>
          </w:p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hRule="atLeast" w:val="333"/>
        </w:trP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150211221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4434,04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Задолженность перед ПАО "Ростелеком" за услуги ссвязи 2024г. Счет будет предоставлен в январе 2025 года.</w:t>
            </w:r>
          </w:p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150211223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5746,66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Задолженность за декабрь 2024г. за поставку газа. Счет будет предоставлен в январе 2025г.</w:t>
            </w:r>
          </w:p>
        </w:tc>
      </w:tr>
      <w:t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10180,70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таблица 2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tbl>
      <w:tblPr>
        <w:tblW w:w="0" w:type="auto"/>
        <w:tblInd w:w="-432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612"/>
        </w:trP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счет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причина</w:t>
            </w:r>
          </w:p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hRule="atLeast" w:val="333"/>
        </w:trP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150211221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4434,04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Задолженность перед ПАО "Ростелеком" за услуги ссвязи 2024г. , счет будет предоставлен в январе 2025 года</w:t>
            </w:r>
          </w:p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150211223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5746,66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Задолженность за декабрь 2023г. за поставку газа. Счет будет предоставлен в январе 2025г.</w:t>
            </w:r>
          </w:p>
        </w:tc>
      </w:tr>
      <w:tr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10180,70</w:t>
            </w:r>
          </w:p>
        </w:tc>
        <w:tc>
          <w:tcPr>
            <w:tcW w:w="27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firstLine="0" w:left="0" w:right="0"/>
              <w:jc w:val="left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Просроченной кредиторской задолженности нет, долгосрочной задолженности нет.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Незавершенных объектов капитального строительства нет.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События последней отчетной даты , которые подлежат отражению в обороты 2024года и отчетности за этот год, не происходили.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Выявлены ошибки прошлых лет в 2024 году , в т. ч. по амортизации основных средств на сумму -9577,90 руб., нематериальные активы на сумму 25577,46 руб., материальные запасы -6905,00 руб.,дебиторская задолженность -37841,55 руб.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5. Прочие вопросы деятельности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4"/>
          <w:szCs w:val="24"/>
        </w:rPr>
        <w:t>субъекта бюджетной отчетности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Инвентаризация в целях составления годовой отчетности за 2024 год проведена с 23 по 27 декабря 2024 года. Недостач и хищений не обнаружено, в связи с чем в составе Пояснительной записки  не представляется Таблица №6 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Признаков обесценения объектов нефинансовых активов не выявлено.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В связи с отсутствием числовых показателей в состав годовой  отчетности и пояснительной записки к ней  не представлены  формы и приложения: 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0503167- Сведения о целевых иностранных кредитах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0503166- Сведения об исполнении мероприятий в рамках целевых программ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0503171- Сведения о финансовых вложениях получателя бюджетных средств, администратора источников финансирования дефицита бюджета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0503172- Сведения о государственном (муниципальном )долге, предоставленных бюджетных кредитах.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0503173- Сведения об изменении остатков валюты баланса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ф 0503 174- Сведения о доходах бюджета от перечисления части прибыли (дивидентов) государственных (муниципальных) унитарных предприятий, иных организаций с государственным участием в капитале 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ф.0503296 - Сведения об исполнении судебных решений;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 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 ф 0503178 - Сведения об остатках денежных средств на счетах получателя бюджетных средств (бюджетная, средства во временном распоряжении);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2"/>
          <w:szCs w:val="22"/>
        </w:rPr>
        <w:t>  ф 0503184 - Справка о суммах консолидируемых поступлений, подлежащих зачислению на счет бюджета.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2"/>
          <w:szCs w:val="22"/>
        </w:rPr>
        <w:t> ф 0503193 –Расшифровка дебиторской задолженности по субсидиям организациям(78.Предосталение субсидий юридическим лицам(за исключением субсидий государственным (муниципальным) учреждениям)индивидуальным предпринимателям, физическим лицам; 78.1предоставление субсидий (кроме субсидий на осуществление капитальных вложений в объекты капитального строительства гос.(муниципальной) собственности;78.2 Предоставление субсидий на осуществление капитальных вложений)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2"/>
          <w:szCs w:val="22"/>
        </w:rPr>
        <w:t> 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2"/>
          <w:szCs w:val="22"/>
        </w:rPr>
        <w:t> 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outlineLvl w:val="9"/>
      </w:pPr>
      <w:r>
        <w:t> </w:t>
      </w:r>
    </w:p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 </w:t>
      </w:r>
    </w:p>
    <w:tbl>
      <w:tblPr>
        <w:tblW w:w="10891" w:type="dxa"/>
        <w:tblInd w:w="96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9140" w:type="dxa"/>
              <w:tblInd w:w="96" w:type="dxa"/>
              <w:tblBorders>
                <w:top w:val="none" w:sz="0" w:space="0" w:shadow="0" w:frame="0" w:color="000000"/>
                <w:left w:val="none" w:sz="0" w:space="0" w:shadow="0" w:frame="0" w:color="000000"/>
                <w:bottom w:val="none" w:sz="0" w:space="0" w:shadow="0" w:frame="0" w:color="000000"/>
                <w:right w:val="none" w:sz="0" w:space="0" w:shadow="0" w:frame="0" w:color="000000"/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drawing>
                      <wp:inline xmlns:wp="http://schemas.openxmlformats.org/drawingml/2006/wordprocessingDrawing" distT="0" distB="0" distL="0" distR="0">
                        <wp:extent cx="2857500" cy="9525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 dpi="0">
                                <a:blip xmlns:r="http://schemas.openxmlformats.org/officeDocument/2006/relationships" r:embed="Relimage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/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u w:val="single"/>
                    </w:rPr>
                    <w:t>Игнатенко Валентина Сергеевна</w:t>
                  </w:r>
                </w:p>
              </w:tc>
            </w:tr>
            <w:tr>
              <w:trPr>
                <w:trHeight w:hRule="atLeast" w:val="280"/>
              </w:trPr>
              <w:tc>
                <w:tcPr>
                  <w:tcW w:w="273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>
              <w:trPr>
                <w:trHeight w:hRule="atLeast"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>
              <w:trPr>
                <w:trHeight w:hRule="atLeast"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Руководитель планово-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u w:val="single"/>
                    </w:rPr>
                    <w:t>Терехова Светлана Викторовна</w:t>
                  </w:r>
                </w:p>
              </w:tc>
            </w:tr>
            <w:tr>
              <w:trPr>
                <w:trHeight w:hRule="atLeast"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экономической службы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>
              <w:trPr>
                <w:trHeight w:hRule="atLeast"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  <w:tr>
              <w:trPr>
                <w:trHeight w:hRule="atLeast"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Главный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drawing>
                      <wp:inline xmlns:wp="http://schemas.openxmlformats.org/drawingml/2006/wordprocessingDrawing" distT="0" distB="0" distL="0" distR="0">
                        <wp:extent cx="2857500" cy="9525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/>
                              </pic:nvPicPr>
                              <pic:blipFill dpi="0">
                                <a:blip xmlns:r="http://schemas.openxmlformats.org/officeDocument/2006/relationships" r:embed="Relimage2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/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u w:val="single"/>
                    </w:rPr>
                    <w:t>Терехова Светлана Викторовна</w:t>
                  </w:r>
                </w:p>
              </w:tc>
            </w:tr>
            <w:tr>
              <w:trPr>
                <w:trHeight w:hRule="atLeast"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бухгалтер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>
              <w:trPr>
                <w:trHeight w:hRule="atLeast" w:val="449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</w:tbl>
          <w:p>
            <w:pPr>
              <w:rPr>
                <w:vanish w:val="1"/>
              </w:rPr>
            </w:pPr>
          </w:p>
          <w:tbl>
            <w:tblPr>
              <w:tblW w:w="9720" w:type="dxa"/>
              <w:jc w:val="left"/>
              <w:tblInd w:w="93" w:type="dxa"/>
              <w:tblBorders>
                <w:top w:val="none" w:sz="0" w:space="0" w:shadow="0" w:frame="0" w:color="000000"/>
                <w:left w:val="none" w:sz="0" w:space="0" w:shadow="0" w:frame="0" w:color="000000"/>
                <w:bottom w:val="none" w:sz="0" w:space="0" w:shadow="0" w:frame="0" w:color="000000"/>
                <w:right w:val="none" w:sz="0" w:space="0" w:shadow="0" w:frame="0" w:color="000000"/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240" w:after="240" w:beforeAutospacing="1" w:afterAutospacing="1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b w:val="1"/>
                      <w:i w:val="1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b w:val="1"/>
                      <w:i w:val="1"/>
                      <w:sz w:val="24"/>
                      <w:szCs w:val="24"/>
                    </w:rPr>
                    <w:t>Централизованная бухгалтерия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108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 </w:t>
                  </w:r>
                </w:p>
              </w:tc>
            </w:tr>
            <w:tr>
              <w:trPr>
                <w:trHeight w:hRule="atLeast" w:val="282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  <w:tr>
              <w:trPr>
                <w:trHeight w:hRule="atLeast" w:val="30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  <w:t>(наименование, местонахождение)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  <w:tr>
              <w:trPr>
                <w:trHeight w:hRule="atLeast"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</w:tbl>
          <w:p>
            <w:pPr>
              <w:spacing w:before="240" w:after="240" w:beforeAutospacing="1" w:afterAutospacing="1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  <w:p>
            <w:pPr>
              <w:spacing w:before="240" w:after="240" w:beforeAutospacing="1" w:afterAutospacing="1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  <w:tbl>
            <w:tblPr>
              <w:tblW w:w="9600" w:type="dxa"/>
              <w:tblCellSpacing w:w="15" w:type="dxa"/>
              <w:tblInd w:w="0" w:type="dxa"/>
              <w:tblBorders>
                <w:top w:val="none" w:sz="0" w:space="0" w:shadow="0" w:frame="0" w:color="000000"/>
                <w:left w:val="none" w:sz="0" w:space="0" w:shadow="0" w:frame="0" w:color="000000"/>
                <w:bottom w:val="none" w:sz="0" w:space="0" w:shadow="0" w:frame="0" w:color="000000"/>
                <w:right w:val="none" w:sz="0" w:space="0" w:shadow="0" w:frame="0" w:color="000000"/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75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single"/>
                    </w:rPr>
                    <w:t>  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8"/>
                    </w:rPr>
                  </w:pP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8"/>
                    </w:rPr>
                  </w:pPr>
                </w:p>
              </w:tc>
            </w:tr>
            <w:tr>
              <w:trPr>
                <w:trHeight w:hRule="atLeast" w:val="195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(уполномоченное лицо)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(подпись) </w:t>
                  </w: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vanish w:val="1"/>
                <w:sz w:val="24"/>
                <w:szCs w:val="24"/>
              </w:rPr>
              <w:t> </w:t>
            </w:r>
          </w:p>
          <w:tbl>
            <w:tblPr>
              <w:tblW w:w="10587" w:type="dxa"/>
              <w:tblCellSpacing w:w="15" w:type="dxa"/>
              <w:tblInd w:w="0" w:type="dxa"/>
              <w:tblBorders>
                <w:top w:val="none" w:sz="0" w:space="0" w:shadow="0" w:frame="0" w:color="000000"/>
                <w:left w:val="none" w:sz="0" w:space="0" w:shadow="0" w:frame="0" w:color="000000"/>
                <w:bottom w:val="none" w:sz="0" w:space="0" w:shadow="0" w:frame="0" w:color="000000"/>
                <w:right w:val="none" w:sz="0" w:space="0" w:shadow="0" w:frame="0" w:color="000000"/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343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none"/>
                    </w:rPr>
                    <w:t>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firstLine="232" w:left="-232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-498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none"/>
                    </w:rPr>
                    <w:t> 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none"/>
                    </w:rPr>
                    <w:t> </w:t>
                  </w:r>
                </w:p>
              </w:tc>
            </w:tr>
            <w:tr>
              <w:trPr>
                <w:trHeight w:hRule="atLeast" w:val="343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single"/>
                    </w:rPr>
                    <w:t>главный бухгалтер</w:t>
                  </w:r>
                </w:p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-498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u w:val="single"/>
                    </w:rPr>
                    <w:t>Кабдулова Конселу Жумалаевна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</w:tr>
            <w:tr>
              <w:trPr>
                <w:trHeight w:hRule="atLeast" w:val="340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  <w:rPr>
                      <w:sz w:val="24"/>
                    </w:rPr>
                  </w:pP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spacing w:before="0" w:after="0" w:beforeAutospacing="0" w:afterAutospacing="0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  <w:sz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  <w:t>(телефон, e-mail)</w:t>
                  </w:r>
                </w:p>
              </w:tc>
            </w:tr>
            <w:tr>
              <w:tc>
                <w:tcPr>
                  <w:tcW w:w="1052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>
                  <w:pPr>
                    <w:ind w:left="0" w:right="0"/>
                  </w:pPr>
                </w:p>
              </w:tc>
            </w:tr>
          </w:tbl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r>
        <w:rPr>
          <w:rFonts w:ascii="Times New Roman" w:hAnsi="Times New Roman" w:cs="Times New Roman" w:eastAsia="Times New Roman"/>
          <w:sz w:val="24"/>
          <w:szCs w:val="24"/>
        </w:rPr>
        <w:t>Документ подписан электронной подписью. Дата представления 22.01.2025</w:t>
        <w:br w:type="textWrapping"/>
        <w:t xml:space="preserve">Главный бухгалтер(Кабдулова Конселу Жумалаевна, Сертификат: 272E7EA0E30E0F85AD01010DE2F25182, Действителен: с 29.12.2023 по 23.03.2025), Руководитель финансово-экономической службы(Кабдулова Конселу Жумалаевна, Сертификат: 272E7EA0E30E0F85AD01010DE2F25182, Действителен: с 29.12.2023 по 23.03.2025), Руководитель(Игнатенко Валентина Сергеевна, Сертификат: 00BE4FB430572FFA9C2242FD392FCA46FB, Действителен: с 29.12.2023 по 23.03.2025)        </w:t>
      </w:r>
    </w:p>
    <w:sectPr>
      <w:type w:val="nextPage"/>
      <w:pgSz w:w="15840" w:h="12240" w:orient="landscap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5D0DC98"/>
    <w:multiLevelType w:val="hybridMultilevel"/>
    <w:lvl w:ilvl="0" w:tplc="5BD2FAE8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2BCAAA0D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7BB5D17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4F5DC64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7AAEA6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0EA889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9E6D9E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33ACDC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C9BDFDA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API/21.2.5.0</Application>
  <AppVersion>21.2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2025-02-21T06:00:35Z</dcterms:created>
  <dcterms:modified xsi:type="dcterms:W3CDTF">2025-02-21T06:00:35Z</dcterms:modified>
  <cp:revision>1</cp:revision>
</cp:coreProperties>
</file>